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D0" w:rsidRPr="00A100E5" w:rsidRDefault="00463DD0" w:rsidP="00463DD0">
      <w:pPr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o-RO"/>
        </w:rPr>
      </w:pP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Elemente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noutate</w:t>
      </w:r>
      <w:proofErr w:type="spellEnd"/>
      <w:r w:rsidR="00A100E5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r w:rsidR="00BE48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–</w:t>
      </w:r>
      <w:proofErr w:type="spellStart"/>
      <w:r w:rsidR="00BE48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preluat</w:t>
      </w:r>
      <w:proofErr w:type="spellEnd"/>
      <w:r w:rsidR="00BE48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de </w:t>
      </w:r>
      <w:proofErr w:type="spellStart"/>
      <w:r w:rsidR="00BE48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pe</w:t>
      </w:r>
      <w:proofErr w:type="spellEnd"/>
      <w:r w:rsidR="00BE48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 site-</w:t>
      </w:r>
      <w:proofErr w:type="spellStart"/>
      <w:r w:rsidR="00BE48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ul</w:t>
      </w:r>
      <w:proofErr w:type="spellEnd"/>
      <w:r w:rsidR="00A100E5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="00A100E5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Ministerul</w:t>
      </w:r>
      <w:proofErr w:type="spellEnd"/>
      <w:r w:rsidR="00A100E5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="00A100E5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Educa</w:t>
      </w:r>
      <w:r w:rsidR="00A100E5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val="ro-RO"/>
        </w:rPr>
        <w:t>ției</w:t>
      </w:r>
      <w:proofErr w:type="spellEnd"/>
    </w:p>
    <w:p w:rsidR="00463DD0" w:rsidRPr="00463DD0" w:rsidRDefault="00463DD0" w:rsidP="00463DD0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bursele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merit</w:t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: 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acordă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minimum 30% din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din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fiecare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clasă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gimnaziu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şi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liceu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dintr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-o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unitate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învăţământ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preuniversitar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ordinea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descrescătoare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mediilor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generale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anuale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;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acolo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unde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situația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o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impune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potrivit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metodologiei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lista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beneficiari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va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fi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extinsă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cuprinde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toți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cu media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mai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mare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egală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cu 9,50;</w:t>
      </w:r>
    </w:p>
    <w:p w:rsidR="00463DD0" w:rsidRPr="00463DD0" w:rsidRDefault="00463DD0" w:rsidP="00463DD0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bursele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merit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elevii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clasa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a V-a</w:t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 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vor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acorda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ordinea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descrescătoare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mediilor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calculate ca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medie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aritmetică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având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două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zecimale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fără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rotunjire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notelor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obținute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parcursul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primelor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două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intervale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învățare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din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anul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curs (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acest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caz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bursele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plătesc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începând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cu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luna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februarie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inclusiv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luna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ianuarie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până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finalul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anului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);</w:t>
      </w:r>
    </w:p>
    <w:p w:rsidR="00463DD0" w:rsidRPr="00463DD0" w:rsidRDefault="00463DD0" w:rsidP="00463DD0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bursele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merit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elevii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clasa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a IX-a</w:t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 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vor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acorda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baza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mediilor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admitere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învăţământul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liceal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profesional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; </w:t>
      </w:r>
    </w:p>
    <w:p w:rsidR="00463DD0" w:rsidRPr="00463DD0" w:rsidRDefault="00463DD0" w:rsidP="00463DD0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bursele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merit se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acordă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premiile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I, II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III la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etapele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judeţene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ale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olimpiadelor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școlare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respectiv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elevilor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din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loturile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restrânse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pregătire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participarea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la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olimpiadele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internaționale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463DD0" w:rsidRPr="00463DD0" w:rsidRDefault="00463DD0" w:rsidP="00463DD0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bursele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sociale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se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acordă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elevilor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din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familii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monoparentale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inclusiv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elevii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cu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unul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dintre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părinți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decedați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fără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a se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lua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considerare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nivelul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venitului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mediu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pe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membru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familie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Cuantumuri</w:t>
      </w:r>
      <w:proofErr w:type="spellEnd"/>
    </w:p>
    <w:p w:rsidR="00463DD0" w:rsidRPr="00463DD0" w:rsidRDefault="00463DD0" w:rsidP="00463DD0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Bursă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excelenţă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olimpică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 </w:t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I: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între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750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3000 lei</w:t>
      </w:r>
    </w:p>
    <w:p w:rsidR="00463DD0" w:rsidRPr="00463DD0" w:rsidRDefault="00463DD0" w:rsidP="00463DD0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Bursă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excelenţă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olimpică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II:</w:t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t> 700 lei</w:t>
      </w:r>
    </w:p>
    <w:p w:rsidR="00463DD0" w:rsidRPr="00463DD0" w:rsidRDefault="00463DD0" w:rsidP="00463DD0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Bursă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merit</w:t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t> : 450 lei</w:t>
      </w:r>
    </w:p>
    <w:p w:rsidR="00463DD0" w:rsidRPr="00463DD0" w:rsidRDefault="00463DD0" w:rsidP="00463DD0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Bursă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socială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: </w:t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t>300 lei</w:t>
      </w:r>
    </w:p>
    <w:p w:rsidR="00463DD0" w:rsidRPr="00463DD0" w:rsidRDefault="00463DD0" w:rsidP="00463DD0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Bursă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mame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minore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 </w:t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t>: 700 lei</w:t>
      </w:r>
    </w:p>
    <w:p w:rsidR="00463DD0" w:rsidRPr="00463DD0" w:rsidRDefault="00463DD0" w:rsidP="00463DD0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Bursă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tehnologică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: 300 lei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Valoarea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burselor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poate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fi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suplimentată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către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consiliile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administraţie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unităţilor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învăţământ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funcţie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sumele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alocate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autorităţile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administraţiei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publice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locale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alte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venituri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obţinute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potrivit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legii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Bursa de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excelenţă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olimpică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I -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gimnaziu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liceu</w:t>
      </w:r>
      <w:proofErr w:type="spellEnd"/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Recompensează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care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obțin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premiile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I, II, III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mențiune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la:</w:t>
      </w:r>
    </w:p>
    <w:p w:rsidR="00463DD0" w:rsidRPr="00463DD0" w:rsidRDefault="00463DD0" w:rsidP="00463DD0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olimpiadele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internaționale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463DD0" w:rsidRPr="00463DD0" w:rsidRDefault="00463DD0" w:rsidP="00463DD0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campionatele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sportive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internaționale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recunoscute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Ministerul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Educației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Jocurile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Olimpice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parteneriat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cu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Comitetul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Olimpic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Sportiv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Român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Bursele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excelență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plătesc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lunar,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întreaga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durată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anului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următor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obținerii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distincției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Bursa de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excelenţă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olimpică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II -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gimnaziu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liceu</w:t>
      </w:r>
      <w:proofErr w:type="spellEnd"/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Recompensează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care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obțin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premiile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I, II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III la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olimpiadele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naționale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organizate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finanțate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Ministerul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Educației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lastRenderedPageBreak/>
        <w:t>Bursele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excelență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 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plătesc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lunar,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întreaga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durată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anului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următor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obținerii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distincției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Bursa de merit -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gimnaziu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liceu</w:t>
      </w:r>
      <w:proofErr w:type="spellEnd"/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Apreciază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încurajează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efortul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:</w:t>
      </w:r>
    </w:p>
    <w:p w:rsidR="00463DD0" w:rsidRPr="00463DD0" w:rsidRDefault="00463DD0" w:rsidP="00463DD0">
      <w:pPr>
        <w:numPr>
          <w:ilvl w:val="0"/>
          <w:numId w:val="4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Celor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mai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buni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30%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din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fiecare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clasă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ordinea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descrescătoare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mediilor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generale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anuale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/ </w:t>
      </w:r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a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mediilor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admitere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(</w:t>
      </w:r>
      <w:proofErr w:type="spellStart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>clasa</w:t>
      </w:r>
      <w:proofErr w:type="spellEnd"/>
      <w:r w:rsidRPr="00463DD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a IX-a) / </w:t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mediilor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primelor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două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module (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clasa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V-a) 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celor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cu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rezultate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mai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mari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egale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cu 9.50;</w:t>
      </w:r>
    </w:p>
    <w:p w:rsidR="00463DD0" w:rsidRPr="00463DD0" w:rsidRDefault="00463DD0" w:rsidP="00463DD0">
      <w:pPr>
        <w:numPr>
          <w:ilvl w:val="0"/>
          <w:numId w:val="4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din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loturile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restrânse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pregătire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olimpiadele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internaționale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463DD0" w:rsidRPr="00463DD0" w:rsidRDefault="00463DD0" w:rsidP="00463DD0">
      <w:pPr>
        <w:numPr>
          <w:ilvl w:val="0"/>
          <w:numId w:val="4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Premianților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(I, II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III) la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olimpiadele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şcolare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județene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463DD0" w:rsidRPr="00463DD0" w:rsidRDefault="00463DD0" w:rsidP="00463DD0">
      <w:pPr>
        <w:numPr>
          <w:ilvl w:val="0"/>
          <w:numId w:val="4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Premianților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(I) la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concursurile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şcolare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extrașcolare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naţionale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recunoscute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finanțate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nefinanțate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Ministerul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Educaţiei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463DD0" w:rsidRPr="00463DD0" w:rsidRDefault="00463DD0" w:rsidP="00463DD0">
      <w:pPr>
        <w:numPr>
          <w:ilvl w:val="0"/>
          <w:numId w:val="4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Premianților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(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medalii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aur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) la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campionatele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naţionale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organizate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federaţiile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sportive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naţionale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sporturi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olimpice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Copiile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certificate ale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diplomelor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obținute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la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competiții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trebuie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depuse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la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școală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, 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primele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25 de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zile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calendaristice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de la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începerea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cursurilor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anului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școlar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Bursele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 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plătesc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lunar,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perioada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cursurilor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 </w:t>
      </w:r>
    </w:p>
    <w:p w:rsidR="00463DD0" w:rsidRPr="00463DD0" w:rsidRDefault="00463DD0" w:rsidP="00463DD0">
      <w:pPr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Bursa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socială</w:t>
      </w:r>
      <w:proofErr w:type="spellEnd"/>
      <w:r w:rsidRPr="00463DD0">
        <w:rPr>
          <w:rFonts w:ascii="Arial" w:eastAsia="Times New Roman" w:hAnsi="Arial" w:cs="Arial"/>
          <w:i/>
          <w:iCs/>
          <w:color w:val="333333"/>
          <w:sz w:val="23"/>
          <w:szCs w:val="23"/>
        </w:rPr>
        <w:t> - 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primar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gimnazial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liceal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, A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doua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șansă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(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minori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),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inclusiv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frecvență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redusă</w:t>
      </w:r>
      <w:proofErr w:type="spellEnd"/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Susține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participarea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a: </w:t>
      </w:r>
    </w:p>
    <w:p w:rsidR="00463DD0" w:rsidRPr="00463DD0" w:rsidRDefault="00463DD0" w:rsidP="00463DD0">
      <w:pPr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din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familii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cu un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venit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mediu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net lunar/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membru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="00260F6D">
        <w:rPr>
          <w:rFonts w:ascii="Arial" w:eastAsia="Times New Roman" w:hAnsi="Arial" w:cs="Arial"/>
          <w:color w:val="333333"/>
          <w:sz w:val="23"/>
          <w:szCs w:val="23"/>
        </w:rPr>
        <w:t xml:space="preserve">de </w:t>
      </w:r>
      <w:proofErr w:type="spellStart"/>
      <w:r w:rsidR="00260F6D">
        <w:rPr>
          <w:rFonts w:ascii="Arial" w:eastAsia="Times New Roman" w:hAnsi="Arial" w:cs="Arial"/>
          <w:color w:val="333333"/>
          <w:sz w:val="23"/>
          <w:szCs w:val="23"/>
        </w:rPr>
        <w:t>familie</w:t>
      </w:r>
      <w:proofErr w:type="spellEnd"/>
      <w:r w:rsidR="00260F6D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="00260F6D">
        <w:rPr>
          <w:rFonts w:ascii="Arial" w:eastAsia="Times New Roman" w:hAnsi="Arial" w:cs="Arial"/>
          <w:color w:val="333333"/>
          <w:sz w:val="23"/>
          <w:szCs w:val="23"/>
        </w:rPr>
        <w:t>pe</w:t>
      </w:r>
      <w:proofErr w:type="spellEnd"/>
      <w:r w:rsidR="00260F6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="00260F6D">
        <w:rPr>
          <w:rFonts w:ascii="Arial" w:eastAsia="Times New Roman" w:hAnsi="Arial" w:cs="Arial"/>
          <w:color w:val="333333"/>
          <w:sz w:val="23"/>
          <w:szCs w:val="23"/>
        </w:rPr>
        <w:t>ultimele</w:t>
      </w:r>
      <w:proofErr w:type="spellEnd"/>
      <w:r w:rsidR="00260F6D">
        <w:rPr>
          <w:rFonts w:ascii="Arial" w:eastAsia="Times New Roman" w:hAnsi="Arial" w:cs="Arial"/>
          <w:color w:val="333333"/>
          <w:sz w:val="23"/>
          <w:szCs w:val="23"/>
        </w:rPr>
        <w:t xml:space="preserve"> 12 </w:t>
      </w:r>
      <w:proofErr w:type="spellStart"/>
      <w:r w:rsidR="00260F6D">
        <w:rPr>
          <w:rFonts w:ascii="Arial" w:eastAsia="Times New Roman" w:hAnsi="Arial" w:cs="Arial"/>
          <w:color w:val="333333"/>
          <w:sz w:val="23"/>
          <w:szCs w:val="23"/>
        </w:rPr>
        <w:t>luni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; </w:t>
      </w:r>
    </w:p>
    <w:p w:rsidR="00463DD0" w:rsidRPr="00463DD0" w:rsidRDefault="00463DD0" w:rsidP="00463DD0">
      <w:pPr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cu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unul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ambii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părinți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decedați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respectiv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celor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asupra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cărora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fost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instituită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o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măsură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protecție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specială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463DD0" w:rsidRPr="00463DD0" w:rsidRDefault="00463DD0" w:rsidP="00463DD0">
      <w:pPr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din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familii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monoparentale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463DD0" w:rsidRPr="00463DD0" w:rsidRDefault="00463DD0" w:rsidP="00463DD0">
      <w:pPr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cu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deficienţe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/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afectări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funcţionale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produse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boli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tulburări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afecțiuni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ale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structurilor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şi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funcţiilor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organismului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463DD0" w:rsidRPr="00463DD0" w:rsidRDefault="00463DD0" w:rsidP="00463DD0">
      <w:pPr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din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familii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care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beneficiază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venit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minim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incluziune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Cererea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declarația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veniturilor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documentele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doveditoare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(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componența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familiei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certificat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încadrare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grad de handicap/de la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medicul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specialist)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trebuie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depuse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la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școală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 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primele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25 de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zile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calendaristice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de la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începerea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cursurilor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anului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școlar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Verificarea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condițiilor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venit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se face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către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secretarul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unității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învăţământ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cu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ajutorul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platformei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fldChar w:fldCharType="begin"/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instrText xml:space="preserve"> HYPERLINK "https://epatrim.anaf.ro/" \t "_blank" </w:instrText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fldChar w:fldCharType="separate"/>
      </w:r>
      <w:r w:rsidRPr="00463DD0">
        <w:rPr>
          <w:rFonts w:ascii="Arial" w:eastAsia="Times New Roman" w:hAnsi="Arial" w:cs="Arial"/>
          <w:color w:val="337AB7"/>
          <w:sz w:val="23"/>
          <w:szCs w:val="23"/>
          <w:u w:val="single"/>
        </w:rPr>
        <w:t>PatrimVen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fldChar w:fldCharType="end"/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.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Înregistrarea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unității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învățământ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fldChar w:fldCharType="begin"/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instrText xml:space="preserve"> HYPERLINK "https://epatrim.anaf.ro/" \t "_blank" </w:instrText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fldChar w:fldCharType="separate"/>
      </w:r>
      <w:r w:rsidRPr="00463DD0">
        <w:rPr>
          <w:rFonts w:ascii="Arial" w:eastAsia="Times New Roman" w:hAnsi="Arial" w:cs="Arial"/>
          <w:color w:val="337AB7"/>
          <w:sz w:val="23"/>
          <w:szCs w:val="23"/>
          <w:u w:val="single"/>
        </w:rPr>
        <w:t>PatrimVen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fldChar w:fldCharType="end"/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durează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cel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mult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3</w:t>
      </w:r>
      <w:proofErr w:type="gram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zile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 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Bursele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sociale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plătesc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lunar,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întreaga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durată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anului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cu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excepția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lunilor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care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cumulează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10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mai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multe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absențe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nemotivate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 </w:t>
      </w:r>
    </w:p>
    <w:p w:rsidR="00463DD0" w:rsidRPr="00463DD0" w:rsidRDefault="00463DD0" w:rsidP="00463DD0">
      <w:pPr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Bursa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tehnologică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 </w:t>
      </w:r>
      <w:r w:rsidRPr="00463DD0">
        <w:rPr>
          <w:rFonts w:ascii="Arial" w:eastAsia="Times New Roman" w:hAnsi="Arial" w:cs="Arial"/>
          <w:color w:val="333333"/>
          <w:sz w:val="23"/>
          <w:szCs w:val="23"/>
        </w:rPr>
        <w:t>(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înlocuiește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bursa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profesională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care 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acorda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conform HG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nr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 1062/30.10.2012)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Susține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participarea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reușita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înmatriculați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cadrul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specializărilor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din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învățământul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profesional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lastRenderedPageBreak/>
        <w:t>Bursele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tehnologice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plătesc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lunar,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perioada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cursurilor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cu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excepția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lunilor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care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cumulează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10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mai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multe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absențe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nemotivate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Bursa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tehnologică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nu 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acordă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primele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3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luni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calendaristice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din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anul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şcolar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următor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cazul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care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comis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abateri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disciplinare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grave, care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conduc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scăderea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mediei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generale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purtare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sub nota 7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anul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şcolar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precedent.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declaraţi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repetenţi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finalul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unui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şcolar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nu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beneficiază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bursa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tehnologică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anul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studiu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care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repetă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Bursa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mame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minore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 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Bursa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susține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participarea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reușita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mamelor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minore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care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frecventează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cursurile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zi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au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copil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/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copii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proprii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întreținere</w:t>
      </w:r>
      <w:proofErr w:type="spellEnd"/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Burse 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acordă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cerere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însoțită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certificatul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naștere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al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copilului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/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copiilor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aflați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întreținerea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mamei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minore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 </w:t>
      </w:r>
    </w:p>
    <w:p w:rsidR="00463DD0" w:rsidRPr="00463DD0" w:rsidRDefault="00463DD0" w:rsidP="00463DD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Bursele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mamele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minore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plătesc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lunar,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perioada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cursurilor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cu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excepția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lunilor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care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cumulează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60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mai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multe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absențe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nemotivate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Alte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informații</w:t>
      </w:r>
      <w:proofErr w:type="spellEnd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importante</w:t>
      </w:r>
      <w:proofErr w:type="spellEnd"/>
    </w:p>
    <w:p w:rsidR="00463DD0" w:rsidRPr="00463DD0" w:rsidRDefault="00463DD0" w:rsidP="00463DD0">
      <w:pPr>
        <w:numPr>
          <w:ilvl w:val="0"/>
          <w:numId w:val="6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Un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poate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beneficia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o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singură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bursă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excelență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olimpică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an,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respectiv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o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singură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bursă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merit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an,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indiferent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rezultatele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obținute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anul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școlar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anterior.</w:t>
      </w:r>
    </w:p>
    <w:p w:rsidR="00463DD0" w:rsidRPr="00463DD0" w:rsidRDefault="00463DD0" w:rsidP="00463DD0">
      <w:pPr>
        <w:numPr>
          <w:ilvl w:val="0"/>
          <w:numId w:val="6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Un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elev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poate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beneficia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o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singură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bursă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socială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chiar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dacă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îndeplinește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mai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multe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criterii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sociale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numPr>
          <w:ilvl w:val="0"/>
          <w:numId w:val="6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Bursa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excelență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olimpică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I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II nu 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cumulează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cu bursa de merit.</w:t>
      </w:r>
    </w:p>
    <w:p w:rsidR="00463DD0" w:rsidRPr="00463DD0" w:rsidRDefault="00463DD0" w:rsidP="00463DD0">
      <w:pPr>
        <w:numPr>
          <w:ilvl w:val="0"/>
          <w:numId w:val="6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Bursa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socială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bursa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tehnologică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bursa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mame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minore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se pot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cumula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între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/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cu bursa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excelență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olimpică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I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II/bursa de merit.</w:t>
      </w:r>
    </w:p>
    <w:p w:rsidR="00463DD0" w:rsidRPr="00463DD0" w:rsidRDefault="00463DD0" w:rsidP="00463DD0">
      <w:pPr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Plata </w:t>
      </w:r>
      <w:proofErr w:type="spellStart"/>
      <w:r w:rsidRPr="00463DD0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burselor</w:t>
      </w:r>
      <w:proofErr w:type="spellEnd"/>
    </w:p>
    <w:p w:rsidR="00463DD0" w:rsidRPr="00463DD0" w:rsidRDefault="00463DD0" w:rsidP="00463DD0">
      <w:pPr>
        <w:numPr>
          <w:ilvl w:val="0"/>
          <w:numId w:val="7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Bursele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plătesc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lunar,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către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unitățile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învățământ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la data de 15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fiecărei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luni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luna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precedentă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numPr>
          <w:ilvl w:val="0"/>
          <w:numId w:val="7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Dacă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data de 15 cade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într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-o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zi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repaus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săptămânal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zi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sărbătoare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legală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sau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zi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liberă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plata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burselor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se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efectuează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ziua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lucrătoare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anterioară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acesteia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63DD0" w:rsidRPr="00463DD0" w:rsidRDefault="00463DD0" w:rsidP="00463DD0">
      <w:pPr>
        <w:numPr>
          <w:ilvl w:val="0"/>
          <w:numId w:val="7"/>
        </w:num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Plata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burselor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atât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luna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septembrie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cât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luna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octombrie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anului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curent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 xml:space="preserve">, se face, la data de 15 </w:t>
      </w:r>
      <w:proofErr w:type="spellStart"/>
      <w:r w:rsidRPr="00463DD0">
        <w:rPr>
          <w:rFonts w:ascii="Arial" w:eastAsia="Times New Roman" w:hAnsi="Arial" w:cs="Arial"/>
          <w:color w:val="333333"/>
          <w:sz w:val="23"/>
          <w:szCs w:val="23"/>
        </w:rPr>
        <w:t>noiembrie</w:t>
      </w:r>
      <w:proofErr w:type="spellEnd"/>
      <w:r w:rsidRPr="00463DD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A701FD" w:rsidRDefault="00A701FD">
      <w:bookmarkStart w:id="0" w:name="_GoBack"/>
      <w:bookmarkEnd w:id="0"/>
    </w:p>
    <w:sectPr w:rsidR="00A701FD" w:rsidSect="007B1AFE">
      <w:pgSz w:w="11907" w:h="16840" w:code="9"/>
      <w:pgMar w:top="1440" w:right="1440" w:bottom="1440" w:left="15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4C0"/>
    <w:multiLevelType w:val="multilevel"/>
    <w:tmpl w:val="D572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B2904"/>
    <w:multiLevelType w:val="multilevel"/>
    <w:tmpl w:val="82FC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6579C"/>
    <w:multiLevelType w:val="multilevel"/>
    <w:tmpl w:val="A8F0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143AC"/>
    <w:multiLevelType w:val="multilevel"/>
    <w:tmpl w:val="D99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F02C5"/>
    <w:multiLevelType w:val="multilevel"/>
    <w:tmpl w:val="E878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A2378"/>
    <w:multiLevelType w:val="multilevel"/>
    <w:tmpl w:val="FB4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77792B"/>
    <w:multiLevelType w:val="multilevel"/>
    <w:tmpl w:val="5EB4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D0"/>
    <w:rsid w:val="00076F06"/>
    <w:rsid w:val="00260F6D"/>
    <w:rsid w:val="00463DD0"/>
    <w:rsid w:val="007B1AFE"/>
    <w:rsid w:val="00A100E5"/>
    <w:rsid w:val="00A701FD"/>
    <w:rsid w:val="00B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FA92"/>
  <w15:chartTrackingRefBased/>
  <w15:docId w15:val="{444F814B-0861-45F7-BBA0-232BEECE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746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35365107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07616784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8994363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76599875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77447536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1182841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1313559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78122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24671859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9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1004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2023-09-15T08:48:00Z</dcterms:created>
  <dcterms:modified xsi:type="dcterms:W3CDTF">2023-09-19T11:12:00Z</dcterms:modified>
</cp:coreProperties>
</file>